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22" w:rsidRDefault="00E31A22" w:rsidP="00BA7CB0">
      <w:bookmarkStart w:id="0" w:name="_GoBack"/>
      <w:bookmarkEnd w:id="0"/>
    </w:p>
    <w:p w:rsidR="00E31A22" w:rsidRDefault="00E31A22" w:rsidP="00BA7CB0">
      <w:pPr>
        <w:rPr>
          <w:sz w:val="22"/>
          <w:szCs w:val="22"/>
        </w:rPr>
      </w:pPr>
      <w:r w:rsidRPr="00A50C6C">
        <w:rPr>
          <w:sz w:val="22"/>
          <w:szCs w:val="22"/>
        </w:rPr>
        <w:t>Dear Department Cha</w:t>
      </w:r>
      <w:r w:rsidR="00023F3E">
        <w:rPr>
          <w:sz w:val="22"/>
          <w:szCs w:val="22"/>
        </w:rPr>
        <w:t>irs and Business Administrators:</w:t>
      </w:r>
    </w:p>
    <w:p w:rsidR="00023F3E" w:rsidRPr="00A50C6C" w:rsidRDefault="00023F3E" w:rsidP="00BA7CB0">
      <w:pPr>
        <w:rPr>
          <w:sz w:val="22"/>
          <w:szCs w:val="22"/>
        </w:rPr>
      </w:pPr>
    </w:p>
    <w:p w:rsidR="00E31A22" w:rsidRPr="00A50C6C" w:rsidRDefault="00E31A22" w:rsidP="00BA7CB0">
      <w:pPr>
        <w:rPr>
          <w:sz w:val="22"/>
          <w:szCs w:val="22"/>
        </w:rPr>
      </w:pPr>
    </w:p>
    <w:p w:rsidR="00BA7CB0" w:rsidRPr="00A50C6C" w:rsidRDefault="000740CE" w:rsidP="00BA7CB0">
      <w:pPr>
        <w:rPr>
          <w:sz w:val="22"/>
          <w:szCs w:val="22"/>
        </w:rPr>
      </w:pPr>
      <w:r w:rsidRPr="00A50C6C">
        <w:rPr>
          <w:sz w:val="22"/>
          <w:szCs w:val="22"/>
        </w:rPr>
        <w:t>The purpose of this communication is to i</w:t>
      </w:r>
      <w:r w:rsidR="00CB4F47" w:rsidRPr="00A50C6C">
        <w:rPr>
          <w:sz w:val="22"/>
          <w:szCs w:val="22"/>
        </w:rPr>
        <w:t>n</w:t>
      </w:r>
      <w:r w:rsidR="004F5997">
        <w:rPr>
          <w:sz w:val="22"/>
          <w:szCs w:val="22"/>
        </w:rPr>
        <w:t xml:space="preserve">form you that effective July 1, </w:t>
      </w:r>
      <w:r w:rsidRPr="00A50C6C">
        <w:rPr>
          <w:sz w:val="22"/>
          <w:szCs w:val="22"/>
        </w:rPr>
        <w:t>2012, the University will implemen</w:t>
      </w:r>
      <w:r w:rsidR="00CB4F47" w:rsidRPr="00A50C6C">
        <w:rPr>
          <w:sz w:val="22"/>
          <w:szCs w:val="22"/>
        </w:rPr>
        <w:t xml:space="preserve">t a new fringe rate for federally sponsored </w:t>
      </w:r>
      <w:r w:rsidRPr="00A50C6C">
        <w:rPr>
          <w:sz w:val="22"/>
          <w:szCs w:val="22"/>
        </w:rPr>
        <w:t>grants</w:t>
      </w:r>
      <w:r w:rsidR="00CB4F47" w:rsidRPr="00A50C6C">
        <w:rPr>
          <w:sz w:val="22"/>
          <w:szCs w:val="22"/>
        </w:rPr>
        <w:t xml:space="preserve"> and contracts</w:t>
      </w:r>
      <w:r w:rsidRPr="00A50C6C">
        <w:rPr>
          <w:sz w:val="22"/>
          <w:szCs w:val="22"/>
        </w:rPr>
        <w:t>.  This new</w:t>
      </w:r>
      <w:r w:rsidR="00CB4F47" w:rsidRPr="00A50C6C">
        <w:rPr>
          <w:sz w:val="22"/>
          <w:szCs w:val="22"/>
        </w:rPr>
        <w:t xml:space="preserve"> fringe</w:t>
      </w:r>
      <w:r w:rsidRPr="00A50C6C">
        <w:rPr>
          <w:sz w:val="22"/>
          <w:szCs w:val="22"/>
        </w:rPr>
        <w:t xml:space="preserve"> rate </w:t>
      </w:r>
      <w:r w:rsidR="000E07EF">
        <w:rPr>
          <w:sz w:val="22"/>
          <w:szCs w:val="22"/>
        </w:rPr>
        <w:t xml:space="preserve">was </w:t>
      </w:r>
      <w:r w:rsidRPr="00A50C6C">
        <w:rPr>
          <w:sz w:val="22"/>
          <w:szCs w:val="22"/>
        </w:rPr>
        <w:t>calculated</w:t>
      </w:r>
      <w:r w:rsidR="00725429" w:rsidRPr="00A50C6C">
        <w:rPr>
          <w:sz w:val="22"/>
          <w:szCs w:val="22"/>
        </w:rPr>
        <w:t xml:space="preserve"> </w:t>
      </w:r>
      <w:r w:rsidRPr="00A50C6C">
        <w:rPr>
          <w:sz w:val="22"/>
          <w:szCs w:val="22"/>
        </w:rPr>
        <w:t xml:space="preserve">in </w:t>
      </w:r>
      <w:r w:rsidR="00725429" w:rsidRPr="00A50C6C">
        <w:rPr>
          <w:sz w:val="22"/>
          <w:szCs w:val="22"/>
        </w:rPr>
        <w:t xml:space="preserve">compliance </w:t>
      </w:r>
      <w:r w:rsidRPr="00A50C6C">
        <w:rPr>
          <w:sz w:val="22"/>
          <w:szCs w:val="22"/>
        </w:rPr>
        <w:t xml:space="preserve">with OMB Circular A-21 </w:t>
      </w:r>
      <w:r w:rsidRPr="00A50C6C">
        <w:rPr>
          <w:i/>
          <w:sz w:val="22"/>
          <w:szCs w:val="22"/>
        </w:rPr>
        <w:t>Principles for Determining Costs Applicable to Grants, Contracts, and Other Agreements with Educational Institutions</w:t>
      </w:r>
      <w:r w:rsidRPr="00A50C6C">
        <w:rPr>
          <w:sz w:val="22"/>
          <w:szCs w:val="22"/>
        </w:rPr>
        <w:t xml:space="preserve"> and will be applied to all federally sponsored </w:t>
      </w:r>
      <w:r w:rsidR="00CB4F47" w:rsidRPr="00A50C6C">
        <w:rPr>
          <w:sz w:val="22"/>
          <w:szCs w:val="22"/>
        </w:rPr>
        <w:t>grants and contracts</w:t>
      </w:r>
      <w:r w:rsidRPr="00A50C6C">
        <w:rPr>
          <w:sz w:val="22"/>
          <w:szCs w:val="22"/>
        </w:rPr>
        <w:t xml:space="preserve">.  The </w:t>
      </w:r>
      <w:r w:rsidR="00CB4F47" w:rsidRPr="00A50C6C">
        <w:rPr>
          <w:sz w:val="22"/>
          <w:szCs w:val="22"/>
        </w:rPr>
        <w:t>University’s f</w:t>
      </w:r>
      <w:r w:rsidRPr="00A50C6C">
        <w:rPr>
          <w:sz w:val="22"/>
          <w:szCs w:val="22"/>
        </w:rPr>
        <w:t>ederal</w:t>
      </w:r>
      <w:r w:rsidR="001600A1">
        <w:rPr>
          <w:sz w:val="22"/>
          <w:szCs w:val="22"/>
        </w:rPr>
        <w:t xml:space="preserve"> </w:t>
      </w:r>
      <w:r w:rsidRPr="00A50C6C">
        <w:rPr>
          <w:sz w:val="22"/>
          <w:szCs w:val="22"/>
        </w:rPr>
        <w:t xml:space="preserve">and </w:t>
      </w:r>
      <w:r w:rsidR="00CB4F47" w:rsidRPr="00A50C6C">
        <w:rPr>
          <w:sz w:val="22"/>
          <w:szCs w:val="22"/>
        </w:rPr>
        <w:t>non-fe</w:t>
      </w:r>
      <w:r w:rsidR="00F2686F" w:rsidRPr="00A50C6C">
        <w:rPr>
          <w:sz w:val="22"/>
          <w:szCs w:val="22"/>
        </w:rPr>
        <w:t>deral (</w:t>
      </w:r>
      <w:r w:rsidR="00CB4F47" w:rsidRPr="00A50C6C">
        <w:rPr>
          <w:sz w:val="22"/>
          <w:szCs w:val="22"/>
        </w:rPr>
        <w:t xml:space="preserve">or </w:t>
      </w:r>
      <w:r w:rsidR="00F2686F" w:rsidRPr="00A50C6C">
        <w:rPr>
          <w:sz w:val="22"/>
          <w:szCs w:val="22"/>
        </w:rPr>
        <w:t xml:space="preserve">University </w:t>
      </w:r>
      <w:r w:rsidR="00CB4F47" w:rsidRPr="00A50C6C">
        <w:rPr>
          <w:sz w:val="22"/>
          <w:szCs w:val="22"/>
        </w:rPr>
        <w:t>s</w:t>
      </w:r>
      <w:r w:rsidRPr="00A50C6C">
        <w:rPr>
          <w:sz w:val="22"/>
          <w:szCs w:val="22"/>
        </w:rPr>
        <w:t>tandard</w:t>
      </w:r>
      <w:r w:rsidR="00F2686F" w:rsidRPr="00A50C6C">
        <w:rPr>
          <w:sz w:val="22"/>
          <w:szCs w:val="22"/>
        </w:rPr>
        <w:t>)</w:t>
      </w:r>
      <w:r w:rsidRPr="00A50C6C">
        <w:rPr>
          <w:sz w:val="22"/>
          <w:szCs w:val="22"/>
        </w:rPr>
        <w:t xml:space="preserve"> fringe rates </w:t>
      </w:r>
      <w:r w:rsidR="00CB4F47" w:rsidRPr="00A50C6C">
        <w:rPr>
          <w:sz w:val="22"/>
          <w:szCs w:val="22"/>
        </w:rPr>
        <w:t>that will be in effect for fiscal 2013</w:t>
      </w:r>
      <w:r w:rsidR="000E07EF">
        <w:rPr>
          <w:sz w:val="22"/>
          <w:szCs w:val="22"/>
        </w:rPr>
        <w:t xml:space="preserve"> (beginning July 1, 2012)</w:t>
      </w:r>
      <w:r w:rsidR="00CB4F47" w:rsidRPr="00A50C6C">
        <w:rPr>
          <w:sz w:val="22"/>
          <w:szCs w:val="22"/>
        </w:rPr>
        <w:t xml:space="preserve"> are as follows:</w:t>
      </w:r>
    </w:p>
    <w:p w:rsidR="000740CE" w:rsidRPr="00A50C6C" w:rsidRDefault="000740CE" w:rsidP="00BA7CB0">
      <w:pPr>
        <w:rPr>
          <w:sz w:val="22"/>
          <w:szCs w:val="22"/>
        </w:rPr>
      </w:pPr>
    </w:p>
    <w:p w:rsidR="000740CE" w:rsidRPr="00A50C6C" w:rsidRDefault="00CB4F47" w:rsidP="00CB4F47">
      <w:pPr>
        <w:rPr>
          <w:sz w:val="22"/>
          <w:szCs w:val="22"/>
        </w:rPr>
      </w:pPr>
      <w:r w:rsidRPr="00A50C6C">
        <w:rPr>
          <w:sz w:val="22"/>
          <w:szCs w:val="22"/>
          <w:u w:val="single"/>
        </w:rPr>
        <w:t>Employee Class</w:t>
      </w:r>
      <w:r w:rsidR="000740CE" w:rsidRPr="00A50C6C">
        <w:rPr>
          <w:sz w:val="22"/>
          <w:szCs w:val="22"/>
        </w:rPr>
        <w:t xml:space="preserve"> </w:t>
      </w:r>
      <w:r w:rsidR="000740CE"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="000E07EF">
        <w:rPr>
          <w:sz w:val="22"/>
          <w:szCs w:val="22"/>
        </w:rPr>
        <w:tab/>
      </w:r>
      <w:r w:rsidR="000740CE" w:rsidRPr="00A50C6C">
        <w:rPr>
          <w:sz w:val="22"/>
          <w:szCs w:val="22"/>
          <w:u w:val="single"/>
        </w:rPr>
        <w:t>Federal</w:t>
      </w:r>
      <w:r w:rsidR="000740CE" w:rsidRPr="00A50C6C">
        <w:rPr>
          <w:sz w:val="22"/>
          <w:szCs w:val="22"/>
          <w:u w:val="single"/>
        </w:rPr>
        <w:tab/>
      </w:r>
      <w:r w:rsidR="000740CE" w:rsidRPr="00A50C6C">
        <w:rPr>
          <w:sz w:val="22"/>
          <w:szCs w:val="22"/>
        </w:rPr>
        <w:tab/>
      </w:r>
      <w:r w:rsidR="000740CE" w:rsidRPr="00A50C6C">
        <w:rPr>
          <w:sz w:val="22"/>
          <w:szCs w:val="22"/>
        </w:rPr>
        <w:tab/>
      </w:r>
      <w:r w:rsidR="000740CE" w:rsidRPr="00A50C6C">
        <w:rPr>
          <w:sz w:val="22"/>
          <w:szCs w:val="22"/>
        </w:rPr>
        <w:tab/>
      </w:r>
      <w:r w:rsidR="000740CE" w:rsidRPr="00A50C6C">
        <w:rPr>
          <w:sz w:val="22"/>
          <w:szCs w:val="22"/>
          <w:u w:val="single"/>
        </w:rPr>
        <w:t>Non-federal</w:t>
      </w:r>
    </w:p>
    <w:p w:rsidR="000740CE" w:rsidRPr="00A50C6C" w:rsidRDefault="000740CE" w:rsidP="00BA7CB0">
      <w:pPr>
        <w:rPr>
          <w:sz w:val="22"/>
          <w:szCs w:val="22"/>
        </w:rPr>
      </w:pPr>
      <w:r w:rsidRPr="00A50C6C">
        <w:rPr>
          <w:sz w:val="22"/>
          <w:szCs w:val="22"/>
        </w:rPr>
        <w:t xml:space="preserve">Full-time with benefits </w:t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="00F2686F" w:rsidRPr="00A50C6C">
        <w:rPr>
          <w:sz w:val="22"/>
          <w:szCs w:val="22"/>
        </w:rPr>
        <w:t xml:space="preserve">  </w:t>
      </w:r>
      <w:r w:rsidR="000E07EF">
        <w:rPr>
          <w:sz w:val="22"/>
          <w:szCs w:val="22"/>
        </w:rPr>
        <w:tab/>
      </w:r>
      <w:r w:rsidR="000E07EF">
        <w:rPr>
          <w:sz w:val="22"/>
          <w:szCs w:val="22"/>
        </w:rPr>
        <w:tab/>
        <w:t xml:space="preserve"> </w:t>
      </w:r>
      <w:r w:rsidRPr="00A50C6C">
        <w:rPr>
          <w:sz w:val="22"/>
          <w:szCs w:val="22"/>
        </w:rPr>
        <w:t>25</w:t>
      </w:r>
      <w:r w:rsidR="00F2686F" w:rsidRPr="00A50C6C">
        <w:rPr>
          <w:sz w:val="22"/>
          <w:szCs w:val="22"/>
        </w:rPr>
        <w:t>.0</w:t>
      </w:r>
      <w:r w:rsidRPr="00A50C6C">
        <w:rPr>
          <w:sz w:val="22"/>
          <w:szCs w:val="22"/>
        </w:rPr>
        <w:t>%</w:t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="00F2686F" w:rsidRPr="00A50C6C">
        <w:rPr>
          <w:sz w:val="22"/>
          <w:szCs w:val="22"/>
        </w:rPr>
        <w:t xml:space="preserve">    </w:t>
      </w:r>
      <w:r w:rsidRPr="00A50C6C">
        <w:rPr>
          <w:sz w:val="22"/>
          <w:szCs w:val="22"/>
        </w:rPr>
        <w:t>27.4%</w:t>
      </w:r>
    </w:p>
    <w:p w:rsidR="000740CE" w:rsidRPr="00A50C6C" w:rsidRDefault="000740CE" w:rsidP="00BA7CB0">
      <w:pPr>
        <w:rPr>
          <w:sz w:val="22"/>
          <w:szCs w:val="22"/>
        </w:rPr>
      </w:pPr>
      <w:r w:rsidRPr="00A50C6C">
        <w:rPr>
          <w:sz w:val="22"/>
          <w:szCs w:val="22"/>
        </w:rPr>
        <w:t>Part-time with benefits</w:t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="00F2686F" w:rsidRPr="00A50C6C">
        <w:rPr>
          <w:sz w:val="22"/>
          <w:szCs w:val="22"/>
        </w:rPr>
        <w:t xml:space="preserve"> </w:t>
      </w:r>
      <w:r w:rsidR="000E07EF">
        <w:rPr>
          <w:sz w:val="22"/>
          <w:szCs w:val="22"/>
        </w:rPr>
        <w:tab/>
      </w:r>
      <w:r w:rsidR="000E07EF">
        <w:rPr>
          <w:sz w:val="22"/>
          <w:szCs w:val="22"/>
        </w:rPr>
        <w:tab/>
      </w:r>
      <w:r w:rsidR="00F2686F" w:rsidRPr="00A50C6C">
        <w:rPr>
          <w:sz w:val="22"/>
          <w:szCs w:val="22"/>
        </w:rPr>
        <w:t xml:space="preserve"> </w:t>
      </w:r>
      <w:r w:rsidRPr="00A50C6C">
        <w:rPr>
          <w:sz w:val="22"/>
          <w:szCs w:val="22"/>
        </w:rPr>
        <w:t>15.0%</w:t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="00F2686F" w:rsidRPr="00A50C6C">
        <w:rPr>
          <w:sz w:val="22"/>
          <w:szCs w:val="22"/>
        </w:rPr>
        <w:tab/>
        <w:t xml:space="preserve">    </w:t>
      </w:r>
      <w:r w:rsidRPr="00A50C6C">
        <w:rPr>
          <w:sz w:val="22"/>
          <w:szCs w:val="22"/>
        </w:rPr>
        <w:t>17.4%</w:t>
      </w:r>
    </w:p>
    <w:p w:rsidR="000740CE" w:rsidRPr="00A50C6C" w:rsidRDefault="000740CE" w:rsidP="00BA7CB0">
      <w:pPr>
        <w:rPr>
          <w:sz w:val="22"/>
          <w:szCs w:val="22"/>
        </w:rPr>
      </w:pPr>
      <w:r w:rsidRPr="00A50C6C">
        <w:rPr>
          <w:sz w:val="22"/>
          <w:szCs w:val="22"/>
        </w:rPr>
        <w:t>Part-time without benefits</w:t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="00F2686F" w:rsidRPr="00A50C6C">
        <w:rPr>
          <w:sz w:val="22"/>
          <w:szCs w:val="22"/>
        </w:rPr>
        <w:t xml:space="preserve"> </w:t>
      </w:r>
      <w:r w:rsidR="000E07EF">
        <w:rPr>
          <w:sz w:val="22"/>
          <w:szCs w:val="22"/>
        </w:rPr>
        <w:tab/>
      </w:r>
      <w:r w:rsidR="00F2686F" w:rsidRPr="00A50C6C">
        <w:rPr>
          <w:sz w:val="22"/>
          <w:szCs w:val="22"/>
        </w:rPr>
        <w:t xml:space="preserve"> </w:t>
      </w:r>
      <w:r w:rsidRPr="00A50C6C">
        <w:rPr>
          <w:sz w:val="22"/>
          <w:szCs w:val="22"/>
        </w:rPr>
        <w:t>10.0%</w:t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Pr="00A50C6C">
        <w:rPr>
          <w:sz w:val="22"/>
          <w:szCs w:val="22"/>
        </w:rPr>
        <w:tab/>
      </w:r>
      <w:r w:rsidR="00F2686F" w:rsidRPr="00A50C6C">
        <w:rPr>
          <w:sz w:val="22"/>
          <w:szCs w:val="22"/>
        </w:rPr>
        <w:t xml:space="preserve">    </w:t>
      </w:r>
      <w:r w:rsidRPr="00A50C6C">
        <w:rPr>
          <w:sz w:val="22"/>
          <w:szCs w:val="22"/>
        </w:rPr>
        <w:t>10.0%</w:t>
      </w:r>
    </w:p>
    <w:p w:rsidR="000740CE" w:rsidRPr="00A50C6C" w:rsidRDefault="000740CE" w:rsidP="00BA7CB0">
      <w:pPr>
        <w:rPr>
          <w:sz w:val="22"/>
          <w:szCs w:val="22"/>
        </w:rPr>
      </w:pPr>
    </w:p>
    <w:p w:rsidR="00F2686F" w:rsidRPr="00A50C6C" w:rsidRDefault="000740CE" w:rsidP="00BA7CB0">
      <w:pPr>
        <w:rPr>
          <w:sz w:val="22"/>
          <w:szCs w:val="22"/>
        </w:rPr>
      </w:pPr>
      <w:r w:rsidRPr="00A50C6C">
        <w:rPr>
          <w:sz w:val="22"/>
          <w:szCs w:val="22"/>
        </w:rPr>
        <w:t>While the</w:t>
      </w:r>
      <w:r w:rsidR="00F2686F" w:rsidRPr="00A50C6C">
        <w:rPr>
          <w:sz w:val="22"/>
          <w:szCs w:val="22"/>
        </w:rPr>
        <w:t xml:space="preserve"> federal fringe rate</w:t>
      </w:r>
      <w:r w:rsidR="001600A1">
        <w:rPr>
          <w:sz w:val="22"/>
          <w:szCs w:val="22"/>
        </w:rPr>
        <w:t xml:space="preserve"> </w:t>
      </w:r>
      <w:r w:rsidR="001600A1" w:rsidRPr="00C03EEC">
        <w:rPr>
          <w:sz w:val="22"/>
          <w:szCs w:val="22"/>
        </w:rPr>
        <w:t>for sponsored grants and contracts</w:t>
      </w:r>
      <w:r w:rsidR="00F2686F" w:rsidRPr="00A50C6C">
        <w:rPr>
          <w:sz w:val="22"/>
          <w:szCs w:val="22"/>
        </w:rPr>
        <w:t xml:space="preserve">, as shown above, </w:t>
      </w:r>
      <w:r w:rsidRPr="00A50C6C">
        <w:rPr>
          <w:sz w:val="22"/>
          <w:szCs w:val="22"/>
        </w:rPr>
        <w:t>is lower than the University’s standard fringe rates</w:t>
      </w:r>
      <w:r w:rsidR="002563CF" w:rsidRPr="00A50C6C">
        <w:rPr>
          <w:sz w:val="22"/>
          <w:szCs w:val="22"/>
        </w:rPr>
        <w:t xml:space="preserve"> for full-time and part-time employees with benefits</w:t>
      </w:r>
      <w:r w:rsidR="004F5997">
        <w:rPr>
          <w:sz w:val="22"/>
          <w:szCs w:val="22"/>
        </w:rPr>
        <w:t>, all current benefits for</w:t>
      </w:r>
      <w:r w:rsidRPr="00A50C6C">
        <w:rPr>
          <w:sz w:val="22"/>
          <w:szCs w:val="22"/>
        </w:rPr>
        <w:t xml:space="preserve"> faculty and staff will remain unchanged.  </w:t>
      </w:r>
    </w:p>
    <w:p w:rsidR="00F2686F" w:rsidRPr="00A50C6C" w:rsidRDefault="00F2686F" w:rsidP="00BA7CB0">
      <w:pPr>
        <w:rPr>
          <w:sz w:val="22"/>
          <w:szCs w:val="22"/>
        </w:rPr>
      </w:pPr>
    </w:p>
    <w:p w:rsidR="000740CE" w:rsidRPr="00A50C6C" w:rsidRDefault="00F2686F" w:rsidP="00BA7CB0">
      <w:pPr>
        <w:rPr>
          <w:sz w:val="22"/>
          <w:szCs w:val="22"/>
        </w:rPr>
      </w:pPr>
      <w:r w:rsidRPr="00A50C6C">
        <w:rPr>
          <w:sz w:val="22"/>
          <w:szCs w:val="22"/>
        </w:rPr>
        <w:t>Implementation of the federal fringe rate requires that salaries and wages sponsored by the federal government be differentiated from those</w:t>
      </w:r>
      <w:r w:rsidR="00725429" w:rsidRPr="00A50C6C">
        <w:rPr>
          <w:sz w:val="22"/>
          <w:szCs w:val="22"/>
        </w:rPr>
        <w:t xml:space="preserve"> which are</w:t>
      </w:r>
      <w:r w:rsidRPr="00A50C6C">
        <w:rPr>
          <w:sz w:val="22"/>
          <w:szCs w:val="22"/>
        </w:rPr>
        <w:t xml:space="preserve"> funded by the University.  Therefore, </w:t>
      </w:r>
      <w:r w:rsidR="000740CE" w:rsidRPr="00A50C6C">
        <w:rPr>
          <w:sz w:val="22"/>
          <w:szCs w:val="22"/>
        </w:rPr>
        <w:t>n</w:t>
      </w:r>
      <w:r w:rsidRPr="00A50C6C">
        <w:rPr>
          <w:sz w:val="22"/>
          <w:szCs w:val="22"/>
        </w:rPr>
        <w:t xml:space="preserve">ew account codes </w:t>
      </w:r>
      <w:r w:rsidR="00725429" w:rsidRPr="00A50C6C">
        <w:rPr>
          <w:sz w:val="22"/>
          <w:szCs w:val="22"/>
        </w:rPr>
        <w:t xml:space="preserve">for all salaries and wages funded by the federal government have been created (see chart below).  </w:t>
      </w:r>
      <w:r w:rsidR="000740CE" w:rsidRPr="00A50C6C">
        <w:rPr>
          <w:sz w:val="22"/>
          <w:szCs w:val="22"/>
        </w:rPr>
        <w:t xml:space="preserve"> </w:t>
      </w:r>
      <w:r w:rsidR="00725429" w:rsidRPr="00A50C6C">
        <w:rPr>
          <w:sz w:val="22"/>
          <w:szCs w:val="22"/>
        </w:rPr>
        <w:t>As we begin the new fiscal year on July 1, the</w:t>
      </w:r>
      <w:r w:rsidR="000740CE" w:rsidRPr="00A50C6C">
        <w:rPr>
          <w:sz w:val="22"/>
          <w:szCs w:val="22"/>
        </w:rPr>
        <w:t xml:space="preserve"> new </w:t>
      </w:r>
      <w:r w:rsidR="00725429" w:rsidRPr="00A50C6C">
        <w:rPr>
          <w:sz w:val="22"/>
          <w:szCs w:val="22"/>
        </w:rPr>
        <w:t xml:space="preserve">account codes must be utilized for all federally sponsored </w:t>
      </w:r>
      <w:r w:rsidR="004F5997">
        <w:rPr>
          <w:sz w:val="22"/>
          <w:szCs w:val="22"/>
        </w:rPr>
        <w:t xml:space="preserve">grant </w:t>
      </w:r>
      <w:r w:rsidR="00725429" w:rsidRPr="00A50C6C">
        <w:rPr>
          <w:sz w:val="22"/>
          <w:szCs w:val="22"/>
        </w:rPr>
        <w:t>salaries and wages.</w:t>
      </w:r>
      <w:r w:rsidR="001C66E0" w:rsidRPr="00A50C6C">
        <w:rPr>
          <w:sz w:val="22"/>
          <w:szCs w:val="22"/>
        </w:rPr>
        <w:t xml:space="preserve">  To assure compliance with OMB Circular A-21</w:t>
      </w:r>
      <w:r w:rsidR="00A50C6C" w:rsidRPr="00A50C6C">
        <w:rPr>
          <w:sz w:val="22"/>
          <w:szCs w:val="22"/>
        </w:rPr>
        <w:t>, u</w:t>
      </w:r>
      <w:r w:rsidR="001C66E0" w:rsidRPr="00A50C6C">
        <w:rPr>
          <w:sz w:val="22"/>
          <w:szCs w:val="22"/>
        </w:rPr>
        <w:t xml:space="preserve">se of the new </w:t>
      </w:r>
      <w:r w:rsidR="00A50C6C" w:rsidRPr="00A50C6C">
        <w:rPr>
          <w:sz w:val="22"/>
          <w:szCs w:val="22"/>
        </w:rPr>
        <w:t xml:space="preserve">federal </w:t>
      </w:r>
      <w:r w:rsidR="001C66E0" w:rsidRPr="00A50C6C">
        <w:rPr>
          <w:sz w:val="22"/>
          <w:szCs w:val="22"/>
        </w:rPr>
        <w:t>account codes and fringe rate</w:t>
      </w:r>
      <w:r w:rsidR="00A50C6C" w:rsidRPr="00A50C6C">
        <w:rPr>
          <w:sz w:val="22"/>
          <w:szCs w:val="22"/>
        </w:rPr>
        <w:t>s</w:t>
      </w:r>
      <w:r w:rsidR="001C66E0" w:rsidRPr="00A50C6C">
        <w:rPr>
          <w:sz w:val="22"/>
          <w:szCs w:val="22"/>
        </w:rPr>
        <w:t xml:space="preserve"> is </w:t>
      </w:r>
      <w:r w:rsidR="001C66E0" w:rsidRPr="000E07EF">
        <w:rPr>
          <w:b/>
          <w:i/>
          <w:sz w:val="22"/>
          <w:szCs w:val="22"/>
        </w:rPr>
        <w:t>mandatory</w:t>
      </w:r>
      <w:r w:rsidR="00725429" w:rsidRPr="00A50C6C">
        <w:rPr>
          <w:sz w:val="22"/>
          <w:szCs w:val="22"/>
        </w:rPr>
        <w:t>.</w:t>
      </w:r>
      <w:r w:rsidR="00A50C6C" w:rsidRPr="00A50C6C">
        <w:rPr>
          <w:sz w:val="22"/>
          <w:szCs w:val="22"/>
        </w:rPr>
        <w:t xml:space="preserve">  </w:t>
      </w:r>
      <w:r w:rsidR="004F5997">
        <w:rPr>
          <w:sz w:val="22"/>
          <w:szCs w:val="22"/>
        </w:rPr>
        <w:t xml:space="preserve">  </w:t>
      </w:r>
      <w:r w:rsidR="00725429" w:rsidRPr="00A50C6C">
        <w:rPr>
          <w:sz w:val="22"/>
          <w:szCs w:val="22"/>
        </w:rPr>
        <w:t>If a faculty or staff member’s salaries or wages are split-f</w:t>
      </w:r>
      <w:r w:rsidR="00A50C6C" w:rsidRPr="00A50C6C">
        <w:rPr>
          <w:sz w:val="22"/>
          <w:szCs w:val="22"/>
        </w:rPr>
        <w:t>unded (federal and non-federal), effort expended on federally sponsored grants and contracts must be charged to the federal account codes and the</w:t>
      </w:r>
      <w:r w:rsidR="007C6F80">
        <w:rPr>
          <w:sz w:val="22"/>
          <w:szCs w:val="22"/>
        </w:rPr>
        <w:t xml:space="preserve"> </w:t>
      </w:r>
      <w:r w:rsidR="00A50C6C" w:rsidRPr="00A50C6C">
        <w:rPr>
          <w:sz w:val="22"/>
          <w:szCs w:val="22"/>
        </w:rPr>
        <w:t>remaining payroll charges are to be assessed to non-federal account codes</w:t>
      </w:r>
      <w:r w:rsidR="000E07EF">
        <w:rPr>
          <w:sz w:val="22"/>
          <w:szCs w:val="22"/>
        </w:rPr>
        <w:t xml:space="preserve"> (current or existing)</w:t>
      </w:r>
      <w:r w:rsidR="00A50C6C" w:rsidRPr="00A50C6C">
        <w:rPr>
          <w:sz w:val="22"/>
          <w:szCs w:val="22"/>
        </w:rPr>
        <w:t>.</w:t>
      </w:r>
      <w:r w:rsidR="007C6F80">
        <w:rPr>
          <w:sz w:val="22"/>
          <w:szCs w:val="22"/>
        </w:rPr>
        <w:t xml:space="preserve">  Please note that the Finance team will automatically adjust all salaries currently being paid on federal grants to the new federal accounts codes effective July 1, 2012.</w:t>
      </w:r>
    </w:p>
    <w:p w:rsidR="000740CE" w:rsidRPr="000740CE" w:rsidRDefault="000740CE" w:rsidP="00BA7CB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5130"/>
        <w:gridCol w:w="1530"/>
      </w:tblGrid>
      <w:tr w:rsidR="00257D67" w:rsidRPr="00A50C6C" w:rsidTr="000E07EF">
        <w:trPr>
          <w:jc w:val="center"/>
        </w:trPr>
        <w:tc>
          <w:tcPr>
            <w:tcW w:w="1458" w:type="dxa"/>
            <w:vAlign w:val="bottom"/>
          </w:tcPr>
          <w:p w:rsidR="00257D67" w:rsidRPr="00A50C6C" w:rsidRDefault="00A50C6C" w:rsidP="000E07EF">
            <w:pPr>
              <w:rPr>
                <w:b/>
                <w:sz w:val="22"/>
                <w:szCs w:val="22"/>
              </w:rPr>
            </w:pPr>
            <w:r w:rsidRPr="00A50C6C">
              <w:rPr>
                <w:b/>
                <w:sz w:val="22"/>
                <w:szCs w:val="22"/>
              </w:rPr>
              <w:t xml:space="preserve">Federal </w:t>
            </w:r>
            <w:r w:rsidR="00257D67" w:rsidRPr="00A50C6C">
              <w:rPr>
                <w:b/>
                <w:sz w:val="22"/>
                <w:szCs w:val="22"/>
              </w:rPr>
              <w:t>Account Code</w:t>
            </w:r>
          </w:p>
        </w:tc>
        <w:tc>
          <w:tcPr>
            <w:tcW w:w="5130" w:type="dxa"/>
            <w:vAlign w:val="bottom"/>
          </w:tcPr>
          <w:p w:rsidR="00257D67" w:rsidRPr="00A50C6C" w:rsidRDefault="00257D67" w:rsidP="000E07EF">
            <w:pPr>
              <w:rPr>
                <w:b/>
                <w:sz w:val="22"/>
                <w:szCs w:val="22"/>
              </w:rPr>
            </w:pPr>
            <w:r w:rsidRPr="00A50C6C">
              <w:rPr>
                <w:b/>
                <w:sz w:val="22"/>
                <w:szCs w:val="22"/>
              </w:rPr>
              <w:t>Account Description</w:t>
            </w:r>
          </w:p>
        </w:tc>
        <w:tc>
          <w:tcPr>
            <w:tcW w:w="1530" w:type="dxa"/>
            <w:vAlign w:val="bottom"/>
          </w:tcPr>
          <w:p w:rsidR="00257D67" w:rsidRPr="00A50C6C" w:rsidRDefault="00257D67" w:rsidP="000E07EF">
            <w:pPr>
              <w:rPr>
                <w:b/>
                <w:sz w:val="22"/>
                <w:szCs w:val="22"/>
              </w:rPr>
            </w:pPr>
            <w:r w:rsidRPr="00A50C6C">
              <w:rPr>
                <w:b/>
                <w:sz w:val="22"/>
                <w:szCs w:val="22"/>
              </w:rPr>
              <w:t>Federal Fringe Rate</w:t>
            </w:r>
          </w:p>
        </w:tc>
      </w:tr>
      <w:tr w:rsidR="00257D67" w:rsidRPr="00A50C6C" w:rsidTr="00A50C6C">
        <w:trPr>
          <w:trHeight w:val="422"/>
          <w:jc w:val="center"/>
        </w:trPr>
        <w:tc>
          <w:tcPr>
            <w:tcW w:w="1458" w:type="dxa"/>
          </w:tcPr>
          <w:p w:rsidR="00257D67" w:rsidRPr="00A50C6C" w:rsidRDefault="00257D67" w:rsidP="00BA7CB0">
            <w:pPr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50043</w:t>
            </w:r>
          </w:p>
        </w:tc>
        <w:tc>
          <w:tcPr>
            <w:tcW w:w="5130" w:type="dxa"/>
          </w:tcPr>
          <w:p w:rsidR="00257D67" w:rsidRPr="00A50C6C" w:rsidRDefault="00257D67" w:rsidP="00257D67">
            <w:pPr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Faculty (Federal Grant)</w:t>
            </w:r>
          </w:p>
        </w:tc>
        <w:tc>
          <w:tcPr>
            <w:tcW w:w="1530" w:type="dxa"/>
          </w:tcPr>
          <w:p w:rsidR="00257D67" w:rsidRPr="00A50C6C" w:rsidRDefault="00257D67" w:rsidP="00257D67">
            <w:pPr>
              <w:jc w:val="center"/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25</w:t>
            </w:r>
            <w:r w:rsidR="00401727">
              <w:rPr>
                <w:sz w:val="22"/>
                <w:szCs w:val="22"/>
              </w:rPr>
              <w:t>.0</w:t>
            </w:r>
            <w:r w:rsidRPr="00A50C6C">
              <w:rPr>
                <w:sz w:val="22"/>
                <w:szCs w:val="22"/>
              </w:rPr>
              <w:t>%</w:t>
            </w:r>
          </w:p>
        </w:tc>
      </w:tr>
      <w:tr w:rsidR="00257D67" w:rsidRPr="00A50C6C" w:rsidTr="00A50C6C">
        <w:trPr>
          <w:trHeight w:val="305"/>
          <w:jc w:val="center"/>
        </w:trPr>
        <w:tc>
          <w:tcPr>
            <w:tcW w:w="1458" w:type="dxa"/>
          </w:tcPr>
          <w:p w:rsidR="00257D67" w:rsidRPr="00A50C6C" w:rsidRDefault="00257D67" w:rsidP="00BA7CB0">
            <w:pPr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50044</w:t>
            </w:r>
          </w:p>
        </w:tc>
        <w:tc>
          <w:tcPr>
            <w:tcW w:w="5130" w:type="dxa"/>
            <w:vAlign w:val="bottom"/>
          </w:tcPr>
          <w:p w:rsidR="00257D67" w:rsidRPr="00A50C6C" w:rsidRDefault="004F5997" w:rsidP="0025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257D67" w:rsidRPr="00A50C6C">
              <w:rPr>
                <w:sz w:val="22"/>
                <w:szCs w:val="22"/>
              </w:rPr>
              <w:t>Part</w:t>
            </w:r>
            <w:r>
              <w:rPr>
                <w:sz w:val="22"/>
                <w:szCs w:val="22"/>
              </w:rPr>
              <w:t>-</w:t>
            </w:r>
            <w:r w:rsidR="00257D67" w:rsidRPr="00A50C6C">
              <w:rPr>
                <w:sz w:val="22"/>
                <w:szCs w:val="22"/>
              </w:rPr>
              <w:t>Time (Federal Grant)</w:t>
            </w:r>
          </w:p>
          <w:p w:rsidR="00257D67" w:rsidRPr="00A50C6C" w:rsidRDefault="00257D67" w:rsidP="00257D6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57D67" w:rsidRPr="00A50C6C" w:rsidRDefault="00257D67" w:rsidP="00257D67">
            <w:pPr>
              <w:jc w:val="center"/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15</w:t>
            </w:r>
            <w:r w:rsidR="00401727">
              <w:rPr>
                <w:sz w:val="22"/>
                <w:szCs w:val="22"/>
              </w:rPr>
              <w:t>.0</w:t>
            </w:r>
            <w:r w:rsidRPr="00A50C6C">
              <w:rPr>
                <w:sz w:val="22"/>
                <w:szCs w:val="22"/>
              </w:rPr>
              <w:t>%</w:t>
            </w:r>
          </w:p>
        </w:tc>
      </w:tr>
      <w:tr w:rsidR="00257D67" w:rsidRPr="00A50C6C" w:rsidTr="00A50C6C">
        <w:trPr>
          <w:trHeight w:val="144"/>
          <w:jc w:val="center"/>
        </w:trPr>
        <w:tc>
          <w:tcPr>
            <w:tcW w:w="1458" w:type="dxa"/>
          </w:tcPr>
          <w:p w:rsidR="00257D67" w:rsidRPr="00A50C6C" w:rsidRDefault="00257D67" w:rsidP="00BA7CB0">
            <w:pPr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50045</w:t>
            </w:r>
          </w:p>
        </w:tc>
        <w:tc>
          <w:tcPr>
            <w:tcW w:w="5130" w:type="dxa"/>
            <w:vAlign w:val="bottom"/>
          </w:tcPr>
          <w:p w:rsidR="00257D67" w:rsidRPr="00A50C6C" w:rsidRDefault="004F5997" w:rsidP="0025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257D67" w:rsidRPr="00A50C6C">
              <w:rPr>
                <w:sz w:val="22"/>
                <w:szCs w:val="22"/>
              </w:rPr>
              <w:t>Adjunct (Federal Grant)</w:t>
            </w:r>
          </w:p>
          <w:p w:rsidR="00257D67" w:rsidRPr="00A50C6C" w:rsidRDefault="00257D67" w:rsidP="00257D6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57D67" w:rsidRPr="00A50C6C" w:rsidRDefault="00257D67" w:rsidP="00257D67">
            <w:pPr>
              <w:jc w:val="center"/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15</w:t>
            </w:r>
            <w:r w:rsidR="00401727">
              <w:rPr>
                <w:sz w:val="22"/>
                <w:szCs w:val="22"/>
              </w:rPr>
              <w:t>.0</w:t>
            </w:r>
            <w:r w:rsidRPr="00A50C6C">
              <w:rPr>
                <w:sz w:val="22"/>
                <w:szCs w:val="22"/>
              </w:rPr>
              <w:t>%</w:t>
            </w:r>
          </w:p>
        </w:tc>
      </w:tr>
      <w:tr w:rsidR="00257D67" w:rsidRPr="00A50C6C" w:rsidTr="00A50C6C">
        <w:trPr>
          <w:trHeight w:val="144"/>
          <w:jc w:val="center"/>
        </w:trPr>
        <w:tc>
          <w:tcPr>
            <w:tcW w:w="1458" w:type="dxa"/>
          </w:tcPr>
          <w:p w:rsidR="00257D67" w:rsidRPr="00A50C6C" w:rsidRDefault="00257D67" w:rsidP="00BA7CB0">
            <w:pPr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50046</w:t>
            </w:r>
          </w:p>
        </w:tc>
        <w:tc>
          <w:tcPr>
            <w:tcW w:w="5130" w:type="dxa"/>
            <w:vAlign w:val="bottom"/>
          </w:tcPr>
          <w:p w:rsidR="00257D67" w:rsidRPr="00A50C6C" w:rsidRDefault="00E525F6" w:rsidP="0025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Secondary Teaching</w:t>
            </w:r>
            <w:r w:rsidR="00257D67" w:rsidRPr="00A50C6C">
              <w:rPr>
                <w:sz w:val="22"/>
                <w:szCs w:val="22"/>
              </w:rPr>
              <w:t xml:space="preserve"> (Federal Grant)</w:t>
            </w:r>
          </w:p>
          <w:p w:rsidR="00257D67" w:rsidRPr="00A50C6C" w:rsidRDefault="00257D67" w:rsidP="00257D6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57D67" w:rsidRPr="00A50C6C" w:rsidRDefault="00E525F6" w:rsidP="0025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017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%</w:t>
            </w:r>
          </w:p>
        </w:tc>
      </w:tr>
      <w:tr w:rsidR="00257D67" w:rsidRPr="00A50C6C" w:rsidTr="00A50C6C">
        <w:trPr>
          <w:trHeight w:val="144"/>
          <w:jc w:val="center"/>
        </w:trPr>
        <w:tc>
          <w:tcPr>
            <w:tcW w:w="1458" w:type="dxa"/>
          </w:tcPr>
          <w:p w:rsidR="00257D67" w:rsidRPr="00A50C6C" w:rsidRDefault="00257D67" w:rsidP="00BA7CB0">
            <w:pPr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50047</w:t>
            </w:r>
          </w:p>
        </w:tc>
        <w:tc>
          <w:tcPr>
            <w:tcW w:w="5130" w:type="dxa"/>
            <w:vAlign w:val="bottom"/>
          </w:tcPr>
          <w:p w:rsidR="00257D67" w:rsidRPr="00A50C6C" w:rsidRDefault="004F5997" w:rsidP="0025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Doc Full-</w:t>
            </w:r>
            <w:r w:rsidR="00257D67" w:rsidRPr="00A50C6C">
              <w:rPr>
                <w:sz w:val="22"/>
                <w:szCs w:val="22"/>
              </w:rPr>
              <w:t>Time (Federal Grant)</w:t>
            </w:r>
          </w:p>
          <w:p w:rsidR="00257D67" w:rsidRPr="00A50C6C" w:rsidRDefault="00257D67" w:rsidP="00257D6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57D67" w:rsidRPr="00A50C6C" w:rsidRDefault="009D620C" w:rsidP="0025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01727">
              <w:rPr>
                <w:sz w:val="22"/>
                <w:szCs w:val="22"/>
              </w:rPr>
              <w:t>.0</w:t>
            </w:r>
            <w:r w:rsidR="00257D67" w:rsidRPr="00A50C6C">
              <w:rPr>
                <w:sz w:val="22"/>
                <w:szCs w:val="22"/>
              </w:rPr>
              <w:t>%</w:t>
            </w:r>
          </w:p>
        </w:tc>
      </w:tr>
      <w:tr w:rsidR="00257D67" w:rsidRPr="00A50C6C" w:rsidTr="00A50C6C">
        <w:trPr>
          <w:trHeight w:val="144"/>
          <w:jc w:val="center"/>
        </w:trPr>
        <w:tc>
          <w:tcPr>
            <w:tcW w:w="1458" w:type="dxa"/>
          </w:tcPr>
          <w:p w:rsidR="00257D67" w:rsidRPr="00A50C6C" w:rsidRDefault="00257D67" w:rsidP="00BA7CB0">
            <w:pPr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50048</w:t>
            </w:r>
          </w:p>
        </w:tc>
        <w:tc>
          <w:tcPr>
            <w:tcW w:w="5130" w:type="dxa"/>
            <w:vAlign w:val="bottom"/>
          </w:tcPr>
          <w:p w:rsidR="00257D67" w:rsidRPr="00A50C6C" w:rsidRDefault="00257D67" w:rsidP="00257D67">
            <w:pPr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 xml:space="preserve">Post Doc </w:t>
            </w:r>
            <w:r w:rsidR="004F5997">
              <w:rPr>
                <w:sz w:val="22"/>
                <w:szCs w:val="22"/>
              </w:rPr>
              <w:t>Part-</w:t>
            </w:r>
            <w:r w:rsidRPr="00A50C6C">
              <w:rPr>
                <w:sz w:val="22"/>
                <w:szCs w:val="22"/>
              </w:rPr>
              <w:t>Time (Federal Grant)</w:t>
            </w:r>
          </w:p>
          <w:p w:rsidR="00257D67" w:rsidRPr="00A50C6C" w:rsidRDefault="00257D67" w:rsidP="00257D6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57D67" w:rsidRPr="00A50C6C" w:rsidRDefault="00E525F6" w:rsidP="0025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01727">
              <w:rPr>
                <w:sz w:val="22"/>
                <w:szCs w:val="22"/>
              </w:rPr>
              <w:t>.0</w:t>
            </w:r>
            <w:r w:rsidR="00257D67" w:rsidRPr="00A50C6C">
              <w:rPr>
                <w:sz w:val="22"/>
                <w:szCs w:val="22"/>
              </w:rPr>
              <w:t>%</w:t>
            </w:r>
          </w:p>
        </w:tc>
      </w:tr>
      <w:tr w:rsidR="00257D67" w:rsidRPr="00A50C6C" w:rsidTr="00A50C6C">
        <w:trPr>
          <w:trHeight w:val="144"/>
          <w:jc w:val="center"/>
        </w:trPr>
        <w:tc>
          <w:tcPr>
            <w:tcW w:w="1458" w:type="dxa"/>
          </w:tcPr>
          <w:p w:rsidR="00257D67" w:rsidRPr="00A50C6C" w:rsidRDefault="00257D67" w:rsidP="00BA7CB0">
            <w:pPr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50049</w:t>
            </w:r>
          </w:p>
        </w:tc>
        <w:tc>
          <w:tcPr>
            <w:tcW w:w="5130" w:type="dxa"/>
            <w:vAlign w:val="bottom"/>
          </w:tcPr>
          <w:p w:rsidR="00257D67" w:rsidRPr="00A50C6C" w:rsidRDefault="004F5997" w:rsidP="0025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Full-</w:t>
            </w:r>
            <w:r w:rsidR="00257D67" w:rsidRPr="00A50C6C">
              <w:rPr>
                <w:sz w:val="22"/>
                <w:szCs w:val="22"/>
              </w:rPr>
              <w:t>Time Hourly (Federal Grant)</w:t>
            </w:r>
          </w:p>
          <w:p w:rsidR="00257D67" w:rsidRPr="00A50C6C" w:rsidRDefault="00257D67" w:rsidP="00257D6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57D67" w:rsidRPr="00A50C6C" w:rsidRDefault="00257D67" w:rsidP="00257D67">
            <w:pPr>
              <w:jc w:val="center"/>
              <w:rPr>
                <w:sz w:val="22"/>
                <w:szCs w:val="22"/>
              </w:rPr>
            </w:pPr>
            <w:r w:rsidRPr="00A50C6C">
              <w:rPr>
                <w:sz w:val="22"/>
                <w:szCs w:val="22"/>
              </w:rPr>
              <w:t>25</w:t>
            </w:r>
            <w:r w:rsidR="00401727">
              <w:rPr>
                <w:sz w:val="22"/>
                <w:szCs w:val="22"/>
              </w:rPr>
              <w:t>.0</w:t>
            </w:r>
            <w:r w:rsidRPr="00A50C6C">
              <w:rPr>
                <w:sz w:val="22"/>
                <w:szCs w:val="22"/>
              </w:rPr>
              <w:t>%</w:t>
            </w:r>
          </w:p>
        </w:tc>
      </w:tr>
      <w:tr w:rsidR="00401727" w:rsidRPr="00A50C6C" w:rsidTr="00401727">
        <w:trPr>
          <w:trHeight w:val="432"/>
          <w:jc w:val="center"/>
        </w:trPr>
        <w:tc>
          <w:tcPr>
            <w:tcW w:w="1458" w:type="dxa"/>
          </w:tcPr>
          <w:p w:rsidR="00401727" w:rsidRPr="00A50C6C" w:rsidRDefault="00401727" w:rsidP="00BA7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</w:t>
            </w:r>
          </w:p>
        </w:tc>
        <w:tc>
          <w:tcPr>
            <w:tcW w:w="5130" w:type="dxa"/>
          </w:tcPr>
          <w:p w:rsidR="00401727" w:rsidRPr="00A50C6C" w:rsidRDefault="00401727" w:rsidP="0040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Hourly Overtime (Federal Grant)</w:t>
            </w:r>
          </w:p>
        </w:tc>
        <w:tc>
          <w:tcPr>
            <w:tcW w:w="1530" w:type="dxa"/>
          </w:tcPr>
          <w:p w:rsidR="00401727" w:rsidRPr="00A50C6C" w:rsidRDefault="00401727" w:rsidP="0025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25.0%</w:t>
            </w:r>
          </w:p>
        </w:tc>
      </w:tr>
      <w:tr w:rsidR="00401727" w:rsidRPr="00A50C6C" w:rsidTr="00401727">
        <w:trPr>
          <w:trHeight w:val="432"/>
          <w:jc w:val="center"/>
        </w:trPr>
        <w:tc>
          <w:tcPr>
            <w:tcW w:w="1458" w:type="dxa"/>
          </w:tcPr>
          <w:p w:rsidR="00401727" w:rsidRPr="00A50C6C" w:rsidRDefault="00401727" w:rsidP="00BA7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50051</w:t>
            </w:r>
          </w:p>
        </w:tc>
        <w:tc>
          <w:tcPr>
            <w:tcW w:w="5130" w:type="dxa"/>
          </w:tcPr>
          <w:p w:rsidR="00401727" w:rsidRPr="00A50C6C" w:rsidRDefault="004F5997" w:rsidP="0040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Full-</w:t>
            </w:r>
            <w:r w:rsidR="00401727">
              <w:rPr>
                <w:sz w:val="22"/>
                <w:szCs w:val="22"/>
              </w:rPr>
              <w:t>Time Exempt (Federal Grant)</w:t>
            </w:r>
          </w:p>
        </w:tc>
        <w:tc>
          <w:tcPr>
            <w:tcW w:w="1530" w:type="dxa"/>
          </w:tcPr>
          <w:p w:rsidR="00401727" w:rsidRPr="00A50C6C" w:rsidRDefault="00401727" w:rsidP="0025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25.0%</w:t>
            </w:r>
          </w:p>
        </w:tc>
      </w:tr>
    </w:tbl>
    <w:p w:rsidR="00BA7CB0" w:rsidRDefault="00BA7CB0" w:rsidP="00BA7CB0"/>
    <w:p w:rsidR="000E07EF" w:rsidRDefault="000E07EF" w:rsidP="00BA7CB0">
      <w:r>
        <w:t xml:space="preserve">As we move forward with two separate fringe rates, it is imperative that all federal grants and contracts are properly identified upon receipt of the award.  </w:t>
      </w:r>
      <w:r w:rsidR="00EC67D0">
        <w:t xml:space="preserve">In response, </w:t>
      </w:r>
      <w:r w:rsidR="00792A18">
        <w:t xml:space="preserve">we ask that you write “Federal” next to the funding agency on the Fiscal Administration Form </w:t>
      </w:r>
      <w:r>
        <w:t xml:space="preserve">to </w:t>
      </w:r>
      <w:r w:rsidR="00E32137">
        <w:t xml:space="preserve">properly </w:t>
      </w:r>
      <w:r>
        <w:t>identify those sponsored projects that are federally funded</w:t>
      </w:r>
      <w:r w:rsidRPr="00792A18">
        <w:t xml:space="preserve">. </w:t>
      </w:r>
      <w:r w:rsidRPr="000F18AC">
        <w:rPr>
          <w:color w:val="FF0000"/>
        </w:rPr>
        <w:t xml:space="preserve">  </w:t>
      </w:r>
      <w:r>
        <w:t xml:space="preserve">In addition, </w:t>
      </w:r>
      <w:r w:rsidR="000F18AC">
        <w:t>consistent with the current process, all</w:t>
      </w:r>
      <w:r>
        <w:t xml:space="preserve"> Additional Compensation Forms must be submitted to Debbie Hellmann for review prior to submission to Human Resources to verify the proper use of account </w:t>
      </w:r>
      <w:r>
        <w:lastRenderedPageBreak/>
        <w:t xml:space="preserve">codes.  </w:t>
      </w:r>
      <w:r w:rsidR="00333575">
        <w:t>Finally, in the event that the new federal fringe rate results in excess budget within the fringe category of a grant, the re</w:t>
      </w:r>
      <w:r w:rsidR="00535CE5">
        <w:t>-</w:t>
      </w:r>
      <w:r w:rsidR="00333575">
        <w:t>budgeting of this amount to other line items can be accomplished by completing the “Internal Approval to Re</w:t>
      </w:r>
      <w:r w:rsidR="00535CE5">
        <w:t>-</w:t>
      </w:r>
      <w:r w:rsidR="00333575">
        <w:t xml:space="preserve">budget” form which can be found at </w:t>
      </w:r>
      <w:hyperlink r:id="rId7" w:history="1">
        <w:r w:rsidR="00023F3E" w:rsidRPr="004E7C26">
          <w:rPr>
            <w:rStyle w:val="Hyperlink"/>
          </w:rPr>
          <w:t>http://www.wfu.edu/fas/grants/index.html</w:t>
        </w:r>
      </w:hyperlink>
      <w:r w:rsidR="00023F3E">
        <w:t xml:space="preserve"> under “Re</w:t>
      </w:r>
      <w:r w:rsidR="00535CE5">
        <w:t>-</w:t>
      </w:r>
      <w:r w:rsidR="00023F3E">
        <w:t>budgeting Request Form”</w:t>
      </w:r>
      <w:r w:rsidR="00333575">
        <w:t xml:space="preserve">. </w:t>
      </w:r>
    </w:p>
    <w:p w:rsidR="000E07EF" w:rsidRDefault="000E07EF" w:rsidP="00BA7CB0"/>
    <w:p w:rsidR="001A6185" w:rsidRDefault="000E07EF" w:rsidP="00BA7CB0">
      <w:r>
        <w:t>Thank you in advance for your assistance and cooperation.  If you have any questions, please do not hesitate to contact</w:t>
      </w:r>
      <w:r w:rsidR="008246AD">
        <w:t xml:space="preserve"> one of</w:t>
      </w:r>
      <w:r>
        <w:t xml:space="preserve"> the following </w:t>
      </w:r>
      <w:r w:rsidR="001A6185">
        <w:t>individuals</w:t>
      </w:r>
      <w:r w:rsidR="007C6F80">
        <w:t>:</w:t>
      </w:r>
    </w:p>
    <w:p w:rsidR="007C6F80" w:rsidRDefault="007C6F80" w:rsidP="00BA7CB0"/>
    <w:p w:rsidR="00EC67D0" w:rsidRPr="007C6F80" w:rsidRDefault="007C6F80" w:rsidP="00BA7CB0">
      <w:pPr>
        <w:rPr>
          <w:b/>
        </w:rPr>
      </w:pPr>
      <w:r>
        <w:tab/>
      </w:r>
      <w:r w:rsidRPr="007C6F80">
        <w:rPr>
          <w:b/>
        </w:rPr>
        <w:t>Financial &amp; Accounting Services:</w:t>
      </w:r>
    </w:p>
    <w:p w:rsidR="001A6185" w:rsidRDefault="001A6185" w:rsidP="007C6F80">
      <w:pPr>
        <w:ind w:firstLine="720"/>
      </w:pPr>
      <w:r>
        <w:t>Debbie Hellmann-</w:t>
      </w:r>
      <w:r w:rsidR="00DC541C">
        <w:t xml:space="preserve">Grants </w:t>
      </w:r>
      <w:r>
        <w:t>Manager</w:t>
      </w:r>
      <w:r w:rsidR="002734C0">
        <w:t xml:space="preserve"> (ext. 5187)</w:t>
      </w:r>
    </w:p>
    <w:p w:rsidR="001A6185" w:rsidRDefault="001A6185" w:rsidP="007C6F80">
      <w:pPr>
        <w:ind w:firstLine="720"/>
      </w:pPr>
      <w:r>
        <w:t>Cathy Dillingham-</w:t>
      </w:r>
      <w:r w:rsidR="00CF400C">
        <w:t xml:space="preserve">Director </w:t>
      </w:r>
      <w:r>
        <w:t>of Payroll</w:t>
      </w:r>
      <w:r w:rsidR="002734C0">
        <w:t xml:space="preserve"> (ext. 4861)</w:t>
      </w:r>
    </w:p>
    <w:p w:rsidR="00DC541C" w:rsidRDefault="00DC541C" w:rsidP="007C6F80">
      <w:pPr>
        <w:ind w:firstLine="720"/>
      </w:pPr>
    </w:p>
    <w:p w:rsidR="007C6F80" w:rsidRPr="00DC541C" w:rsidRDefault="007C6F80" w:rsidP="007C6F80">
      <w:pPr>
        <w:ind w:firstLine="720"/>
        <w:rPr>
          <w:b/>
        </w:rPr>
      </w:pPr>
      <w:r w:rsidRPr="00DC541C">
        <w:rPr>
          <w:b/>
        </w:rPr>
        <w:t>Human Resources:</w:t>
      </w:r>
    </w:p>
    <w:p w:rsidR="003661AC" w:rsidRDefault="003661AC" w:rsidP="007C6F80">
      <w:pPr>
        <w:ind w:firstLine="720"/>
      </w:pPr>
      <w:r w:rsidRPr="00DC541C">
        <w:t>Beth Fay-Associate Director (ext. 5678)</w:t>
      </w:r>
    </w:p>
    <w:p w:rsidR="00DC541C" w:rsidRDefault="00DC541C" w:rsidP="007C6F80">
      <w:pPr>
        <w:ind w:firstLine="720"/>
      </w:pPr>
    </w:p>
    <w:p w:rsidR="007C6F80" w:rsidRPr="007C6F80" w:rsidRDefault="007C6F80" w:rsidP="007C6F80">
      <w:pPr>
        <w:ind w:firstLine="720"/>
        <w:rPr>
          <w:b/>
        </w:rPr>
      </w:pPr>
      <w:r w:rsidRPr="007C6F80">
        <w:rPr>
          <w:b/>
        </w:rPr>
        <w:t>Office of Research &amp; Sponsored Programs:</w:t>
      </w:r>
    </w:p>
    <w:p w:rsidR="001A6185" w:rsidRDefault="001A6185" w:rsidP="007C6F80">
      <w:pPr>
        <w:ind w:firstLine="720"/>
      </w:pPr>
      <w:r>
        <w:t>Lori Messer-Director</w:t>
      </w:r>
      <w:r w:rsidR="00E15FC3">
        <w:t xml:space="preserve"> (ext.</w:t>
      </w:r>
      <w:r w:rsidR="00E32137">
        <w:t>5888</w:t>
      </w:r>
      <w:r w:rsidR="002734C0">
        <w:t>)</w:t>
      </w:r>
    </w:p>
    <w:p w:rsidR="00E172AF" w:rsidRDefault="00E172AF" w:rsidP="00BA7CB0"/>
    <w:p w:rsidR="00E172AF" w:rsidRDefault="00E172AF" w:rsidP="00BA7CB0"/>
    <w:p w:rsidR="00E172AF" w:rsidRDefault="00E172AF" w:rsidP="00BA7CB0"/>
    <w:p w:rsidR="00E172AF" w:rsidRDefault="00401727" w:rsidP="00BA7CB0">
      <w:r>
        <w:t>Best regards</w:t>
      </w:r>
      <w:r w:rsidR="00E172AF">
        <w:t>,</w:t>
      </w:r>
    </w:p>
    <w:p w:rsidR="00401727" w:rsidRDefault="00401727" w:rsidP="00BA7CB0"/>
    <w:p w:rsidR="00401727" w:rsidRDefault="00401727" w:rsidP="00BA7CB0"/>
    <w:p w:rsidR="00E172AF" w:rsidRDefault="00401727" w:rsidP="00BA7CB0">
      <w:r>
        <w:t>B</w:t>
      </w:r>
      <w:r w:rsidR="00E172AF">
        <w:t>randon Gilliland</w:t>
      </w:r>
      <w:r>
        <w:t>, AVP Finance and Controller</w:t>
      </w:r>
    </w:p>
    <w:p w:rsidR="00E172AF" w:rsidRDefault="00E172AF" w:rsidP="00BA7CB0">
      <w:r w:rsidRPr="00535CE5">
        <w:t>Carmen Canales</w:t>
      </w:r>
      <w:r w:rsidR="00401727" w:rsidRPr="00535CE5">
        <w:t>, Chief Human Resources Officer</w:t>
      </w:r>
    </w:p>
    <w:p w:rsidR="00401727" w:rsidRDefault="00401727" w:rsidP="00BA7CB0">
      <w:r>
        <w:t>James Shore</w:t>
      </w:r>
      <w:r w:rsidR="00DC541C">
        <w:t xml:space="preserve">, AVP </w:t>
      </w:r>
      <w:r>
        <w:t>Budget and Financial Planning</w:t>
      </w:r>
    </w:p>
    <w:p w:rsidR="00877645" w:rsidRDefault="00877645" w:rsidP="00BA7CB0"/>
    <w:p w:rsidR="00877645" w:rsidRDefault="00877645" w:rsidP="00BA7CB0">
      <w:r>
        <w:t>Cc:</w:t>
      </w:r>
      <w:r>
        <w:tab/>
        <w:t>Hof Milam</w:t>
      </w:r>
    </w:p>
    <w:p w:rsidR="00877645" w:rsidRDefault="00877645" w:rsidP="00BA7CB0">
      <w:r>
        <w:tab/>
        <w:t>Mark Welker</w:t>
      </w:r>
    </w:p>
    <w:p w:rsidR="00877645" w:rsidRDefault="00877645" w:rsidP="00BA7CB0">
      <w:r>
        <w:tab/>
        <w:t>Carol Burns</w:t>
      </w:r>
    </w:p>
    <w:p w:rsidR="00877645" w:rsidRDefault="00877645" w:rsidP="00BA7CB0">
      <w:r>
        <w:tab/>
        <w:t>Jeff Manning</w:t>
      </w:r>
    </w:p>
    <w:p w:rsidR="00877645" w:rsidRDefault="00877645" w:rsidP="00BA7CB0">
      <w:r>
        <w:tab/>
        <w:t>Debbie Hellmann</w:t>
      </w:r>
    </w:p>
    <w:p w:rsidR="00877645" w:rsidRDefault="00877645" w:rsidP="00BA7CB0">
      <w:r>
        <w:tab/>
        <w:t>Beth Fay</w:t>
      </w:r>
    </w:p>
    <w:p w:rsidR="00877645" w:rsidRDefault="00877645" w:rsidP="00BA7CB0">
      <w:r>
        <w:tab/>
        <w:t>Lori Messer</w:t>
      </w:r>
    </w:p>
    <w:p w:rsidR="00877645" w:rsidRDefault="00877645" w:rsidP="00BA7CB0">
      <w:r>
        <w:tab/>
        <w:t>Cathy Dillingham</w:t>
      </w:r>
    </w:p>
    <w:p w:rsidR="00877645" w:rsidRDefault="00877645" w:rsidP="00BA7CB0">
      <w:r>
        <w:tab/>
        <w:t>Gary Willis</w:t>
      </w:r>
    </w:p>
    <w:p w:rsidR="00877645" w:rsidRDefault="00877645" w:rsidP="00BA7CB0"/>
    <w:p w:rsidR="001A6185" w:rsidRDefault="001A6185" w:rsidP="00BA7CB0"/>
    <w:p w:rsidR="001A6185" w:rsidRDefault="001A6185" w:rsidP="00BA7CB0"/>
    <w:p w:rsidR="001A6185" w:rsidRDefault="001A6185" w:rsidP="00BA7CB0"/>
    <w:sectPr w:rsidR="001A6185" w:rsidSect="007C6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AD" w:rsidRDefault="000C05AD" w:rsidP="000F18AC">
      <w:r>
        <w:separator/>
      </w:r>
    </w:p>
  </w:endnote>
  <w:endnote w:type="continuationSeparator" w:id="0">
    <w:p w:rsidR="000C05AD" w:rsidRDefault="000C05AD" w:rsidP="000F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AD" w:rsidRDefault="000C05AD" w:rsidP="000F18AC">
      <w:r>
        <w:separator/>
      </w:r>
    </w:p>
  </w:footnote>
  <w:footnote w:type="continuationSeparator" w:id="0">
    <w:p w:rsidR="000C05AD" w:rsidRDefault="000C05AD" w:rsidP="000F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81"/>
    <w:rsid w:val="00023F3E"/>
    <w:rsid w:val="00041534"/>
    <w:rsid w:val="000740CE"/>
    <w:rsid w:val="000C05AD"/>
    <w:rsid w:val="000C2A3C"/>
    <w:rsid w:val="000E07EF"/>
    <w:rsid w:val="000F18AC"/>
    <w:rsid w:val="000F2187"/>
    <w:rsid w:val="00101AD1"/>
    <w:rsid w:val="00105806"/>
    <w:rsid w:val="001600A1"/>
    <w:rsid w:val="001A6185"/>
    <w:rsid w:val="001C66E0"/>
    <w:rsid w:val="002014C6"/>
    <w:rsid w:val="002563CF"/>
    <w:rsid w:val="00257D67"/>
    <w:rsid w:val="002734C0"/>
    <w:rsid w:val="00287A15"/>
    <w:rsid w:val="002D17FC"/>
    <w:rsid w:val="002D3BC3"/>
    <w:rsid w:val="003243B3"/>
    <w:rsid w:val="00333575"/>
    <w:rsid w:val="003661AC"/>
    <w:rsid w:val="00393656"/>
    <w:rsid w:val="00395261"/>
    <w:rsid w:val="003A1B1F"/>
    <w:rsid w:val="003A2FBD"/>
    <w:rsid w:val="00401727"/>
    <w:rsid w:val="0040465B"/>
    <w:rsid w:val="004162D2"/>
    <w:rsid w:val="00430832"/>
    <w:rsid w:val="00493558"/>
    <w:rsid w:val="004A30F7"/>
    <w:rsid w:val="004B204C"/>
    <w:rsid w:val="004E3165"/>
    <w:rsid w:val="004F5997"/>
    <w:rsid w:val="00510AD3"/>
    <w:rsid w:val="00535CE5"/>
    <w:rsid w:val="005B45E9"/>
    <w:rsid w:val="00644F1C"/>
    <w:rsid w:val="00671DB2"/>
    <w:rsid w:val="006800F7"/>
    <w:rsid w:val="00703974"/>
    <w:rsid w:val="00725429"/>
    <w:rsid w:val="00733DE7"/>
    <w:rsid w:val="00787DEA"/>
    <w:rsid w:val="00792A18"/>
    <w:rsid w:val="007C6F80"/>
    <w:rsid w:val="007D3D6E"/>
    <w:rsid w:val="00823074"/>
    <w:rsid w:val="008246AD"/>
    <w:rsid w:val="00866AD3"/>
    <w:rsid w:val="00877645"/>
    <w:rsid w:val="008D6D41"/>
    <w:rsid w:val="0090794F"/>
    <w:rsid w:val="0093551B"/>
    <w:rsid w:val="00954571"/>
    <w:rsid w:val="00980AF7"/>
    <w:rsid w:val="00986E06"/>
    <w:rsid w:val="00991E9D"/>
    <w:rsid w:val="009D620C"/>
    <w:rsid w:val="009E4753"/>
    <w:rsid w:val="009E7C74"/>
    <w:rsid w:val="00A50C6C"/>
    <w:rsid w:val="00A65067"/>
    <w:rsid w:val="00A82BA0"/>
    <w:rsid w:val="00AA188D"/>
    <w:rsid w:val="00AB109F"/>
    <w:rsid w:val="00AB2810"/>
    <w:rsid w:val="00AF56C3"/>
    <w:rsid w:val="00B549A5"/>
    <w:rsid w:val="00B64ADA"/>
    <w:rsid w:val="00B74DE6"/>
    <w:rsid w:val="00BA7CB0"/>
    <w:rsid w:val="00BE0CF2"/>
    <w:rsid w:val="00C03EEC"/>
    <w:rsid w:val="00C12DAC"/>
    <w:rsid w:val="00C61F8E"/>
    <w:rsid w:val="00C86C91"/>
    <w:rsid w:val="00CB4F47"/>
    <w:rsid w:val="00CC1881"/>
    <w:rsid w:val="00CF400C"/>
    <w:rsid w:val="00D31869"/>
    <w:rsid w:val="00DC541C"/>
    <w:rsid w:val="00E1411F"/>
    <w:rsid w:val="00E15FC3"/>
    <w:rsid w:val="00E172AF"/>
    <w:rsid w:val="00E31A22"/>
    <w:rsid w:val="00E32137"/>
    <w:rsid w:val="00E525F6"/>
    <w:rsid w:val="00E53175"/>
    <w:rsid w:val="00EB41C5"/>
    <w:rsid w:val="00EC28DA"/>
    <w:rsid w:val="00EC67D0"/>
    <w:rsid w:val="00F2686F"/>
    <w:rsid w:val="00FA33E6"/>
    <w:rsid w:val="00FA4E2A"/>
    <w:rsid w:val="00FB3A8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AC"/>
  </w:style>
  <w:style w:type="paragraph" w:styleId="Footer">
    <w:name w:val="footer"/>
    <w:basedOn w:val="Normal"/>
    <w:link w:val="FooterChar"/>
    <w:uiPriority w:val="99"/>
    <w:unhideWhenUsed/>
    <w:rsid w:val="000F1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8AC"/>
  </w:style>
  <w:style w:type="character" w:styleId="Hyperlink">
    <w:name w:val="Hyperlink"/>
    <w:basedOn w:val="DefaultParagraphFont"/>
    <w:uiPriority w:val="99"/>
    <w:unhideWhenUsed/>
    <w:rsid w:val="0002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AC"/>
  </w:style>
  <w:style w:type="paragraph" w:styleId="Footer">
    <w:name w:val="footer"/>
    <w:basedOn w:val="Normal"/>
    <w:link w:val="FooterChar"/>
    <w:uiPriority w:val="99"/>
    <w:unhideWhenUsed/>
    <w:rsid w:val="000F1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8AC"/>
  </w:style>
  <w:style w:type="character" w:styleId="Hyperlink">
    <w:name w:val="Hyperlink"/>
    <w:basedOn w:val="DefaultParagraphFont"/>
    <w:uiPriority w:val="99"/>
    <w:unhideWhenUsed/>
    <w:rsid w:val="0002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u.edu/fas/grant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WFU2011</dc:creator>
  <cp:lastModifiedBy>WFUT4102010</cp:lastModifiedBy>
  <cp:revision>2</cp:revision>
  <dcterms:created xsi:type="dcterms:W3CDTF">2012-06-26T21:01:00Z</dcterms:created>
  <dcterms:modified xsi:type="dcterms:W3CDTF">2012-06-26T21:01:00Z</dcterms:modified>
</cp:coreProperties>
</file>